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D" w:rsidRDefault="006942ED" w:rsidP="006942ED">
      <w:pPr>
        <w:autoSpaceDE w:val="0"/>
        <w:autoSpaceDN w:val="0"/>
        <w:adjustRightInd w:val="0"/>
        <w:spacing w:after="0" w:line="240" w:lineRule="auto"/>
        <w:rPr>
          <w:rFonts w:ascii="Arial" w:eastAsia="Swiss721PL-Roman" w:hAnsi="Arial" w:cs="Arial"/>
          <w:b/>
          <w:u w:val="single"/>
        </w:rPr>
      </w:pPr>
      <w:r>
        <w:rPr>
          <w:rFonts w:ascii="Arial" w:eastAsia="Swiss721PL-Roman" w:hAnsi="Arial" w:cs="Arial"/>
          <w:b/>
          <w:u w:val="single"/>
        </w:rPr>
        <w:t>Materiał nauczania:</w:t>
      </w:r>
      <w:r>
        <w:rPr>
          <w:rFonts w:ascii="Arial" w:eastAsia="Swiss721PL-Roman" w:hAnsi="Arial" w:cs="Arial"/>
          <w:b/>
          <w:u w:val="single"/>
        </w:rPr>
        <w:t xml:space="preserve"> edukacja dla bezpieczeństwa                             </w:t>
      </w:r>
      <w:bookmarkStart w:id="0" w:name="_GoBack"/>
      <w:bookmarkEnd w:id="0"/>
      <w:r>
        <w:rPr>
          <w:rFonts w:ascii="Arial" w:eastAsia="Swiss721PL-Roman" w:hAnsi="Arial" w:cs="Arial"/>
          <w:b/>
          <w:u w:val="single"/>
        </w:rPr>
        <w:t xml:space="preserve"> rok szkolny 2017-18</w:t>
      </w:r>
    </w:p>
    <w:p w:rsidR="006942ED" w:rsidRDefault="006942ED" w:rsidP="006942ED">
      <w:pPr>
        <w:autoSpaceDE w:val="0"/>
        <w:autoSpaceDN w:val="0"/>
        <w:adjustRightInd w:val="0"/>
        <w:spacing w:after="0" w:line="240" w:lineRule="auto"/>
        <w:rPr>
          <w:rFonts w:ascii="Arial" w:eastAsia="Swiss721PL-Roman" w:hAnsi="Arial" w:cs="Arial"/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767"/>
        <w:gridCol w:w="3793"/>
        <w:gridCol w:w="859"/>
        <w:gridCol w:w="66"/>
      </w:tblGrid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Nr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lekcji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Temat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Zagadnienia (materiał nauczania)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Liczba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godzin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Lekcja organizacyjna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Zasady zachowania się uczniów przed </w:t>
            </w:r>
          </w:p>
          <w:p w:rsidR="006942ED" w:rsidRDefault="006942E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 w czasie lekcji.</w:t>
            </w:r>
          </w:p>
          <w:p w:rsidR="006942ED" w:rsidRDefault="006942E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Wymagania programowe.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Kryteria ustalania ocen z przedmiotu.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Rozdział I   Pierwsza pomoc w nagłych wypadkach i </w:t>
            </w:r>
            <w:proofErr w:type="spellStart"/>
            <w:r>
              <w:rPr>
                <w:b/>
                <w:bCs/>
                <w:sz w:val="24"/>
                <w:szCs w:val="24"/>
              </w:rPr>
              <w:t>zachorowaniach</w:t>
            </w:r>
            <w:proofErr w:type="spellEnd"/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Organizacja pomocy na miejscu wypadku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 to jest pierwsza pomoc,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bezpieczeństwo własne ratownika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bezpieczeństwo poszkodowanych i świadków zdarzenia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przepisy prawne nakazujące  udzielenia pierwszej pomocy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- sposób wzywania pomocy fachowej (pogotowia)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Kontrola stanu i funkcji życiowych poszkodowanego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Zabiegi systemowe,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Ocena przytomności i świadomości,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Sprawdzanie oddechu,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Pozycja boczna ustalona (bezpieczna)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4-5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Utrata czynności życiowych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bezdech-przyczyny,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sztuczne oddychanie u dorosłych i     dzieci metodą usta- usta.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- zatrzymanie krążenia – przyczyny,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- pojęcie śmierci klinicznej i biologicznej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6-7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Resuscytacja krążeniowo – oddechowa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ćwiczenia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resuscytacja dorosłego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- resuscytacja dziecka i niemowlaka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8-9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Stany organizmu zagrażające życiu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omdlenie, utrata przytomności,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 wstrząs pourazowy, epilepsja,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 udar cieplny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Krwotoki, ich rodzaje i sposoby tamowania.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krwotok żylny i tętniczy, zewnętrzny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 i wewnętrzny,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- tamowanie krwawień i krwotoków,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krwotok z nosa,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wstrząs pokrwotoczny.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Urazy kości i stawów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urazy kończyn,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- urazy głowy, kręgosłupa i miednicy,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złamanie żeber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Oparzenia termiczne i chemiczne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rodzaje oparzeń,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- algorytm postępowania w przypadku  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  oparzeń,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zagrożenia wstrząsem.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rPr>
          <w:gridAfter w:val="1"/>
          <w:wAfter w:w="66" w:type="dxa"/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Ciała obce w organizmie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ciało obce w drogach oddechowych,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postępowanie w przypadku   zakrztuszenia u dorosłego,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postępowanie w przypadku   zakrztuszenia u dziecka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Rozdział II     Zagro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czasu pokoju</w:t>
            </w:r>
            <w:r>
              <w:rPr>
                <w:rFonts w:ascii="Arial" w:eastAsia="Swiss721PL-Roman" w:hAnsi="Arial" w:cs="Arial"/>
                <w:b/>
              </w:rPr>
              <w:t xml:space="preserve"> 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>Zagrożenia czasu pokoju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naturalne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spowodowane działalnością   człowieka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społeczne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zapobiegawcze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sytuacja kryzysowa i stan nadzwyczajny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Pożary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definicja, czynniki niezbędne do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procesu spalania</w:t>
            </w:r>
          </w:p>
          <w:p w:rsidR="006942ED" w:rsidRDefault="006942ED" w:rsidP="005806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najczęstsze przyczyny pożarów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pożarom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profilaktyki pożarowej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środki gaśnicze i podręczny sprzęt        .     gaśniczy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ratowanie zwierząt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znaki ewakuacyjne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Powodzie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przyczyny powodzi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powodziom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stan alarmowy i stan ostrzegawczy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wystąpieniu powodzi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opadnięciu wód powodziowych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Zagrożenia  ekologiczne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środowiska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źródła i rodzaje zanieczyszczeń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toksyczne środki przemysłowe (TSP)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zapobieganie skutkom zanieczyszczeń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Zagrożenia bezpieczeństwa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osobistego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kradzież kieszonkowa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rabunkowy, pobicie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usiłowanie gwałtu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uprowadzenie, kidnaping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odurzenie środkiem psychoaktywnym wbrew woli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na mieszkanie, wtargnięcie napastnika do domu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zagrożenia płynące z Internetu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Awarie, wypadki,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katastrofy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awaria, wypadek, katastrofa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główne przyczyny awarii, wypadków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 katastrof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ratownicze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wyszukiwanie i wynoszenie   poszkodowanych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Zagrożenia terrorystyczne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terroryzm i jego źródła we </w:t>
            </w:r>
            <w:r>
              <w:rPr>
                <w:rFonts w:ascii="Arial" w:hAnsi="Arial" w:cs="Arial"/>
              </w:rPr>
              <w:lastRenderedPageBreak/>
              <w:t>współczesnym świecie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zasady zachowania się w przypadku ataku terrorystycznego lub tzw. sytuacji  </w:t>
            </w:r>
            <w:proofErr w:type="spellStart"/>
            <w:r>
              <w:rPr>
                <w:rFonts w:ascii="Arial" w:hAnsi="Arial" w:cs="Arial"/>
              </w:rPr>
              <w:t>zakładniczej</w:t>
            </w:r>
            <w:proofErr w:type="spellEnd"/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w razie ataku gazowego, podejrzanej przesyłki pocztowej, wybuchu bomby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w szkole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21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Psychologiczne skutki sytuacji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>kryzysowych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Stres i jego wpływ na zachowanie ludzi.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Reakcje człowieka na lęk i strach.                                        Zjawisko paniki.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Przeciwdziałanie panice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III                Zagrożenia czasu wojny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Konwencjonalne środki  współczesnego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pola walki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broń konwencjonalna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sposoby ochrony przed rażeniem broni  konwencjonalnej.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Broń masowego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rażenia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 w:rsidP="005806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broń jądrowa</w:t>
            </w:r>
          </w:p>
          <w:p w:rsidR="006942ED" w:rsidRDefault="006942ED" w:rsidP="005806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broń chemiczna</w:t>
            </w:r>
          </w:p>
          <w:p w:rsidR="006942ED" w:rsidRDefault="006942ED" w:rsidP="005806C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broń biologiczna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środki ochrony przed bronią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masowego rażenia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indywidualne środki ochrony dróg oddechowych i skóry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działania i użytkowania indywidualnych środków ochrony dróg oddechowych i skóry.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pStyle w:val="Bezodstpw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Rozdział IV    System obrony pa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  <w:lang w:eastAsia="en-US"/>
              </w:rPr>
              <w:t>ń</w:t>
            </w:r>
            <w:r>
              <w:rPr>
                <w:b/>
                <w:bCs/>
                <w:sz w:val="24"/>
                <w:szCs w:val="24"/>
                <w:lang w:eastAsia="en-US"/>
              </w:rPr>
              <w:t>stwa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System obronny Rzeczypospolitej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gendaPl-RegularCondensed" w:hAnsi="Arial" w:cs="Arial"/>
              </w:rPr>
              <w:t>Polskiej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Zadania systemu obronnego Rzeczypospolitej Polskiej.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Charakterystyka podsystemów.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Siły Zbrojne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Rzeczypospolitej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Polskiej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organizacyjna i zadania Sił Zbrojnych RP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Służba wojskowa i Narodowe Siły Rezerwowe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Sił Zbrojnych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Rodzaje wojsk i służb w siłach zbrojnych Rzeczypospolitej Polskiej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Powinności obronne władz samorządowych,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instytucji i obywateli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Powinności obronne administracji cywilnej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 xml:space="preserve"> i wojskowej.         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Świadczenia osobiste i rzeczowe obywateli.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V       Ochrona ludności i obrona cywilna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>Międzynarodowe Prawo Humanitarne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 xml:space="preserve">Geneza międzynarodowego prawa humanitarnego.                   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 xml:space="preserve"> Konwencje genewskie i protokoły dodatkowe.                         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Ochrona dóbr kultury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ludności i zwierząt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 xml:space="preserve"> Zbiorowe środki ochrony ludności: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– budowle ochronne,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– ewakuacja ludności,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– zabiegi sanitarne i specjalne.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lastRenderedPageBreak/>
              <w:t xml:space="preserve"> -  ochrona zwierząt.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6942ED" w:rsidTr="006942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>Ostrzeganie i alarmowanie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 xml:space="preserve">Zasady zachowania się w przypadku wystąpienia zagrożeni w budynku szkoły i po ogłoszeniu ewakuacji 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Rodzaje alarmów i zasady postępowania po ich usłyszeniu.</w:t>
            </w:r>
          </w:p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Drogi ewakuacji z budynku szkolnego.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D" w:rsidRDefault="006942ED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</w:tbl>
    <w:p w:rsidR="004825D0" w:rsidRDefault="004825D0"/>
    <w:sectPr w:rsidR="0048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60E"/>
    <w:multiLevelType w:val="hybridMultilevel"/>
    <w:tmpl w:val="607A9CE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D"/>
    <w:rsid w:val="004825D0"/>
    <w:rsid w:val="006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2ED"/>
    <w:pPr>
      <w:ind w:left="720"/>
      <w:contextualSpacing/>
    </w:pPr>
  </w:style>
  <w:style w:type="table" w:styleId="Tabela-Siatka">
    <w:name w:val="Table Grid"/>
    <w:basedOn w:val="Standardowy"/>
    <w:uiPriority w:val="59"/>
    <w:rsid w:val="006942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2ED"/>
    <w:pPr>
      <w:ind w:left="720"/>
      <w:contextualSpacing/>
    </w:pPr>
  </w:style>
  <w:style w:type="table" w:styleId="Tabela-Siatka">
    <w:name w:val="Table Grid"/>
    <w:basedOn w:val="Standardowy"/>
    <w:uiPriority w:val="59"/>
    <w:rsid w:val="006942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2</cp:revision>
  <dcterms:created xsi:type="dcterms:W3CDTF">2017-09-06T15:08:00Z</dcterms:created>
  <dcterms:modified xsi:type="dcterms:W3CDTF">2017-09-06T15:09:00Z</dcterms:modified>
</cp:coreProperties>
</file>